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2C3B" w14:textId="461EC71F" w:rsidR="00B65E71" w:rsidRPr="00B65E71" w:rsidRDefault="00B65E71" w:rsidP="00B65E7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5E71">
        <w:rPr>
          <w:rFonts w:ascii="Times New Roman" w:hAnsi="Times New Roman" w:cs="Times New Roman"/>
          <w:sz w:val="28"/>
          <w:szCs w:val="28"/>
        </w:rPr>
        <w:t>А.В. Пилипенко (Санкт-Петербург)</w:t>
      </w:r>
    </w:p>
    <w:bookmarkEnd w:id="0"/>
    <w:p w14:paraId="3FBB3326" w14:textId="4A744CE3" w:rsidR="004104D6" w:rsidRDefault="004104D6" w:rsidP="0041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D6">
        <w:rPr>
          <w:rFonts w:ascii="Times New Roman" w:hAnsi="Times New Roman" w:cs="Times New Roman"/>
          <w:b/>
          <w:sz w:val="28"/>
          <w:szCs w:val="28"/>
        </w:rPr>
        <w:t>Обзор существующей практики адвокатских палат по установлению минимальных (средних) размеров гонораров</w:t>
      </w:r>
    </w:p>
    <w:p w14:paraId="1DA7CAAB" w14:textId="7C8CA72D" w:rsidR="00BE44B9" w:rsidRPr="00BE44B9" w:rsidRDefault="00BE44B9" w:rsidP="008F2BF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44B9">
        <w:rPr>
          <w:rFonts w:ascii="Times New Roman" w:hAnsi="Times New Roman" w:cs="Times New Roman"/>
          <w:sz w:val="27"/>
          <w:szCs w:val="27"/>
        </w:rPr>
        <w:t xml:space="preserve">В соответствии со ст. 25 Федерального закона от 31.05.2002 N 63-ФЗ (ред. от 29.07.2017) «Об адвокатской деятельности и адвокатуре в Российской Федерации»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  <w:r>
        <w:rPr>
          <w:rFonts w:ascii="Times New Roman" w:hAnsi="Times New Roman" w:cs="Times New Roman"/>
          <w:sz w:val="27"/>
          <w:szCs w:val="27"/>
        </w:rPr>
        <w:t xml:space="preserve">Существенными условиями соглашения являются в числе прочих также </w:t>
      </w:r>
      <w:r w:rsidRPr="00BE44B9">
        <w:rPr>
          <w:rFonts w:ascii="Times New Roman" w:hAnsi="Times New Roman" w:cs="Times New Roman"/>
          <w:sz w:val="27"/>
          <w:szCs w:val="27"/>
        </w:rPr>
        <w:t>условия и размер выплаты доверителем вознаграждения за оказываемую юридическую помощь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77652FD" w14:textId="1A3E3C8B" w:rsidR="00BE44B9" w:rsidRPr="00BE44B9" w:rsidRDefault="00BE44B9" w:rsidP="00BE44B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1410F5">
        <w:rPr>
          <w:rFonts w:ascii="Times New Roman" w:hAnsi="Times New Roman" w:cs="Times New Roman"/>
          <w:sz w:val="27"/>
          <w:szCs w:val="27"/>
        </w:rPr>
        <w:t xml:space="preserve">федеральным законом не определены размеры вознаграждения, подлежащего выплате адвокату за выполнение поручения – однако они могут быть установлены, рекомендованы, статистически определены хотя бы в минимальном размере в каждой адвокатской палате субъекта РФ, которая сочтет это целесообразным. </w:t>
      </w:r>
    </w:p>
    <w:p w14:paraId="1F1EB649" w14:textId="77777777" w:rsidR="001410F5" w:rsidRDefault="00194C71" w:rsidP="001410F5">
      <w:pPr>
        <w:pStyle w:val="standar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Практика установления минимальных (средних) размеров вознаграждения адвоката существует в региональных адвокатских палатах с 2004 года. Как следует из информационного письма ФПА от 21.06.2010 года, за это время такие ставки (тарифы, размеры) были введены в 49 региональных палатах.</w:t>
      </w:r>
    </w:p>
    <w:p w14:paraId="232D4286" w14:textId="4AD3B186" w:rsidR="009724D6" w:rsidRDefault="00194C71" w:rsidP="001410F5">
      <w:pPr>
        <w:pStyle w:val="standard"/>
        <w:spacing w:before="24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За прошедшие годы количество таких палат только увеличилась</w:t>
      </w:r>
      <w:r w:rsidR="003D2BFE" w:rsidRPr="004104D6">
        <w:rPr>
          <w:sz w:val="26"/>
          <w:szCs w:val="26"/>
        </w:rPr>
        <w:t xml:space="preserve"> - м</w:t>
      </w:r>
      <w:r w:rsidR="00F16060" w:rsidRPr="004104D6">
        <w:rPr>
          <w:sz w:val="26"/>
          <w:szCs w:val="26"/>
        </w:rPr>
        <w:t xml:space="preserve">инимальные ставки </w:t>
      </w:r>
      <w:r w:rsidR="003D2BFE" w:rsidRPr="004104D6">
        <w:rPr>
          <w:sz w:val="26"/>
          <w:szCs w:val="26"/>
        </w:rPr>
        <w:t>рекомендованы членам палат</w:t>
      </w:r>
      <w:r w:rsidR="00F16060" w:rsidRPr="004104D6">
        <w:rPr>
          <w:sz w:val="26"/>
          <w:szCs w:val="26"/>
        </w:rPr>
        <w:t xml:space="preserve"> в </w:t>
      </w:r>
      <w:r w:rsidR="0079326B" w:rsidRPr="004104D6">
        <w:rPr>
          <w:sz w:val="26"/>
          <w:szCs w:val="26"/>
        </w:rPr>
        <w:t>59</w:t>
      </w:r>
      <w:r w:rsidR="00F16060" w:rsidRPr="004104D6">
        <w:rPr>
          <w:sz w:val="26"/>
          <w:szCs w:val="26"/>
        </w:rPr>
        <w:t xml:space="preserve"> регионах</w:t>
      </w:r>
      <w:r>
        <w:rPr>
          <w:sz w:val="26"/>
          <w:szCs w:val="26"/>
        </w:rPr>
        <w:t xml:space="preserve"> России</w:t>
      </w:r>
      <w:r w:rsidR="003D2BFE" w:rsidRPr="004104D6">
        <w:rPr>
          <w:sz w:val="26"/>
          <w:szCs w:val="26"/>
        </w:rPr>
        <w:t>.</w:t>
      </w:r>
      <w:r w:rsidR="001410F5">
        <w:rPr>
          <w:sz w:val="26"/>
          <w:szCs w:val="26"/>
        </w:rPr>
        <w:t xml:space="preserve"> </w:t>
      </w:r>
      <w:r w:rsidR="009724D6" w:rsidRPr="004104D6">
        <w:rPr>
          <w:sz w:val="26"/>
          <w:szCs w:val="26"/>
        </w:rPr>
        <w:t>В абсолютном большинстве случаев положения, рекомендации и обзоры гонорарной практики утверждены соответствующими решениями советов адвокатских палат субъектов Российской Федерации, однако в Чувашской Республике минимальные ставки были установлены решением Конференции адвокатов ЧР.</w:t>
      </w:r>
    </w:p>
    <w:p w14:paraId="42312912" w14:textId="77777777" w:rsidR="007D2D6A" w:rsidRDefault="001410F5" w:rsidP="001410F5">
      <w:pPr>
        <w:pStyle w:val="standard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данный момент назрела необходимость проанализировать существующие положения, касающиеся минимальных ставок вознаграждения адвокатов в разных регионах РФ с точки зрения</w:t>
      </w:r>
      <w:r w:rsidR="007D2D6A">
        <w:rPr>
          <w:sz w:val="26"/>
          <w:szCs w:val="26"/>
        </w:rPr>
        <w:t>:</w:t>
      </w:r>
    </w:p>
    <w:p w14:paraId="277A78E0" w14:textId="77777777" w:rsidR="007D2D6A" w:rsidRDefault="001410F5" w:rsidP="007D2D6A">
      <w:pPr>
        <w:pStyle w:val="standard"/>
        <w:numPr>
          <w:ilvl w:val="0"/>
          <w:numId w:val="2"/>
        </w:numPr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задач, для решения которых такие ставки устанавливаются; </w:t>
      </w:r>
    </w:p>
    <w:p w14:paraId="07F1F2FD" w14:textId="77777777" w:rsidR="007D2D6A" w:rsidRDefault="001410F5" w:rsidP="007D2D6A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императивности или диспозитивности таких ставок; </w:t>
      </w:r>
    </w:p>
    <w:p w14:paraId="50019F74" w14:textId="77777777" w:rsidR="007D2D6A" w:rsidRDefault="001410F5" w:rsidP="007D2D6A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их обновления</w:t>
      </w:r>
      <w:r w:rsidR="007D2D6A">
        <w:rPr>
          <w:sz w:val="26"/>
          <w:szCs w:val="26"/>
        </w:rPr>
        <w:t xml:space="preserve">; </w:t>
      </w:r>
    </w:p>
    <w:p w14:paraId="2EB55F91" w14:textId="77777777" w:rsidR="007D2D6A" w:rsidRDefault="007D2D6A" w:rsidP="007D2D6A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степени дифференциации расценок от региона к региону. </w:t>
      </w:r>
    </w:p>
    <w:p w14:paraId="364E51B3" w14:textId="43D417F8" w:rsidR="001410F5" w:rsidRDefault="007D2D6A" w:rsidP="007D2D6A">
      <w:pPr>
        <w:pStyle w:val="standard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такого анализа можно будет сделать вывод об адекватности различных способов реализации задач, для решения которых устанавливаются минимальные ставки, самим этим задачам.</w:t>
      </w:r>
    </w:p>
    <w:p w14:paraId="3AA8544B" w14:textId="6041D254" w:rsidR="007D2D6A" w:rsidRDefault="007D2D6A" w:rsidP="007D2D6A">
      <w:pPr>
        <w:pStyle w:val="standard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настоящего обзора использовались положения и иные акты, принятые в адвокатских палатах различных регионов России по вопросу регулирования оплаты услуг адвоката по соглашению, размещенные на сайтах адвокатских палат или в иных открытых источниках.</w:t>
      </w:r>
    </w:p>
    <w:p w14:paraId="254D954D" w14:textId="77777777" w:rsidR="007D2D6A" w:rsidRDefault="007D2D6A" w:rsidP="001410F5">
      <w:pPr>
        <w:pStyle w:val="standard"/>
        <w:spacing w:before="240" w:beforeAutospacing="0" w:after="0" w:afterAutospacing="0"/>
        <w:jc w:val="both"/>
        <w:rPr>
          <w:sz w:val="26"/>
          <w:szCs w:val="26"/>
        </w:rPr>
      </w:pPr>
    </w:p>
    <w:p w14:paraId="1A11D6A3" w14:textId="59586EC0" w:rsidR="00785A41" w:rsidRPr="001410F5" w:rsidRDefault="00785A41" w:rsidP="0078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F5">
        <w:rPr>
          <w:rFonts w:ascii="Times New Roman" w:hAnsi="Times New Roman" w:cs="Times New Roman"/>
          <w:b/>
          <w:sz w:val="28"/>
          <w:szCs w:val="28"/>
        </w:rPr>
        <w:t>Задачи, решаемые при помощи установления минимальных (средних) ставок вознаграждения адвоката</w:t>
      </w:r>
    </w:p>
    <w:p w14:paraId="7C760F3D" w14:textId="488938D5" w:rsidR="00F6236D" w:rsidRPr="004104D6" w:rsidRDefault="00F6236D" w:rsidP="004104D6">
      <w:p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</w:t>
      </w:r>
      <w:r w:rsidR="00785A41">
        <w:rPr>
          <w:rFonts w:ascii="Times New Roman" w:hAnsi="Times New Roman" w:cs="Times New Roman"/>
          <w:sz w:val="26"/>
          <w:szCs w:val="26"/>
        </w:rPr>
        <w:t xml:space="preserve"> большинстве положений в</w:t>
      </w:r>
      <w:r w:rsidRPr="004104D6">
        <w:rPr>
          <w:rFonts w:ascii="Times New Roman" w:hAnsi="Times New Roman" w:cs="Times New Roman"/>
          <w:sz w:val="26"/>
          <w:szCs w:val="26"/>
        </w:rPr>
        <w:t xml:space="preserve"> качестве </w:t>
      </w:r>
      <w:r w:rsidR="00785A41">
        <w:rPr>
          <w:rFonts w:ascii="Times New Roman" w:hAnsi="Times New Roman" w:cs="Times New Roman"/>
          <w:sz w:val="26"/>
          <w:szCs w:val="26"/>
        </w:rPr>
        <w:t>задач, решаемых установлением минимальных ставок, отмечены одна или несколько из следующих</w:t>
      </w:r>
      <w:r w:rsidRPr="004104D6">
        <w:rPr>
          <w:rFonts w:ascii="Times New Roman" w:hAnsi="Times New Roman" w:cs="Times New Roman"/>
          <w:sz w:val="26"/>
          <w:szCs w:val="26"/>
        </w:rPr>
        <w:t>:</w:t>
      </w:r>
    </w:p>
    <w:p w14:paraId="3D74D967" w14:textId="77777777" w:rsidR="00F6236D" w:rsidRPr="004104D6" w:rsidRDefault="00F6236D" w:rsidP="004104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упорядочение гонорарной политики; </w:t>
      </w:r>
    </w:p>
    <w:p w14:paraId="1C1B10E4" w14:textId="77777777" w:rsidR="00F6236D" w:rsidRPr="004104D6" w:rsidRDefault="00F6236D" w:rsidP="004104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максимальное обеспечение права граждан на получение квалифицированной юридической помощи;</w:t>
      </w:r>
    </w:p>
    <w:p w14:paraId="66FA98B3" w14:textId="77777777" w:rsidR="00F6236D" w:rsidRPr="004104D6" w:rsidRDefault="00F6236D" w:rsidP="004104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помощь адвокатам в определении размера вознаграждения за оказанную юридическую помощь;</w:t>
      </w:r>
    </w:p>
    <w:p w14:paraId="28CF1C5B" w14:textId="77777777" w:rsidR="00F6236D" w:rsidRPr="004104D6" w:rsidRDefault="00F6236D" w:rsidP="004104D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4D6">
        <w:rPr>
          <w:rFonts w:ascii="Times New Roman" w:hAnsi="Times New Roman" w:cs="Times New Roman"/>
          <w:sz w:val="26"/>
          <w:szCs w:val="26"/>
        </w:rPr>
        <w:t>обеспечение</w:t>
      </w:r>
      <w:r w:rsidRPr="00410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применения судами критериев разумности, установленных в части второй статьи 110 Арбитражного процессуального кодекса Российской Федерации и части первой статьи 100 Гражданского процессуального кодекса Российской Федерации;</w:t>
      </w:r>
    </w:p>
    <w:p w14:paraId="1F5BA691" w14:textId="2C7F8BFA" w:rsidR="00F6236D" w:rsidRPr="004104D6" w:rsidRDefault="00F6236D" w:rsidP="004104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выработка единых критериев при определении размера вознаграждения при заключении соглашения с лицами, обратившимися за юридической помощью.</w:t>
      </w:r>
    </w:p>
    <w:p w14:paraId="1A11D960" w14:textId="53560E02" w:rsidR="00F6236D" w:rsidRDefault="00F6236D" w:rsidP="004104D6">
      <w:pPr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При этом на данный момент такая цель установления минимальных ставок вознаграждения адвоката, как борьба с демпинговыми ценами внутри адвокатских образований</w:t>
      </w:r>
      <w:r w:rsidR="009724D6" w:rsidRPr="004104D6">
        <w:rPr>
          <w:rFonts w:ascii="Times New Roman" w:hAnsi="Times New Roman" w:cs="Times New Roman"/>
          <w:sz w:val="26"/>
          <w:szCs w:val="26"/>
        </w:rPr>
        <w:t xml:space="preserve">, </w:t>
      </w:r>
      <w:r w:rsidR="00785A41">
        <w:rPr>
          <w:rFonts w:ascii="Times New Roman" w:hAnsi="Times New Roman" w:cs="Times New Roman"/>
          <w:sz w:val="26"/>
          <w:szCs w:val="26"/>
        </w:rPr>
        <w:t>Советами региональных палат не декларируется, хотя</w:t>
      </w:r>
      <w:r w:rsidR="009724D6" w:rsidRPr="004104D6">
        <w:rPr>
          <w:rFonts w:ascii="Times New Roman" w:hAnsi="Times New Roman" w:cs="Times New Roman"/>
          <w:sz w:val="26"/>
          <w:szCs w:val="26"/>
        </w:rPr>
        <w:t xml:space="preserve"> еще в 2010-2012 годах такие формулировки встречались в соответствующих </w:t>
      </w:r>
      <w:r w:rsidR="00785A41">
        <w:rPr>
          <w:rFonts w:ascii="Times New Roman" w:hAnsi="Times New Roman" w:cs="Times New Roman"/>
          <w:sz w:val="26"/>
          <w:szCs w:val="26"/>
        </w:rPr>
        <w:t>положениях</w:t>
      </w:r>
      <w:r w:rsidR="009724D6" w:rsidRPr="004104D6">
        <w:rPr>
          <w:rFonts w:ascii="Times New Roman" w:hAnsi="Times New Roman" w:cs="Times New Roman"/>
          <w:sz w:val="26"/>
          <w:szCs w:val="26"/>
        </w:rPr>
        <w:t>. Например, такая задача определена в Положении «О минимальных ставках вознаграждения за оказываемую юридическую помощь в арбитражном судопроизводстве</w:t>
      </w:r>
      <w:r w:rsidR="00603C6D">
        <w:rPr>
          <w:rFonts w:ascii="Times New Roman" w:hAnsi="Times New Roman" w:cs="Times New Roman"/>
          <w:sz w:val="26"/>
          <w:szCs w:val="26"/>
        </w:rPr>
        <w:t>»</w:t>
      </w:r>
      <w:r w:rsidR="009724D6" w:rsidRPr="004104D6">
        <w:rPr>
          <w:rFonts w:ascii="Times New Roman" w:hAnsi="Times New Roman" w:cs="Times New Roman"/>
          <w:sz w:val="26"/>
          <w:szCs w:val="26"/>
        </w:rPr>
        <w:t>, утвержденном Решением Совета Адвокатской палаты Липецкой области от 17.02.2012 г.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643945" w14:textId="633B9D62" w:rsidR="00785A41" w:rsidRPr="007D2D6A" w:rsidRDefault="00785A41" w:rsidP="0078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6A">
        <w:rPr>
          <w:rFonts w:ascii="Times New Roman" w:hAnsi="Times New Roman" w:cs="Times New Roman"/>
          <w:b/>
          <w:sz w:val="28"/>
          <w:szCs w:val="28"/>
        </w:rPr>
        <w:t>Императивность минимальных ставок вознаграждения</w:t>
      </w:r>
    </w:p>
    <w:p w14:paraId="06C90F8B" w14:textId="527C4450" w:rsidR="004028D8" w:rsidRPr="004104D6" w:rsidRDefault="004028D8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Вне зависимости от цели установления минимальных ставок степень их императивности также разнится от региона к региону.</w:t>
      </w:r>
    </w:p>
    <w:p w14:paraId="04558D74" w14:textId="54B78020" w:rsidR="004028D8" w:rsidRPr="004104D6" w:rsidRDefault="004028D8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Так, например, Совет АП Московской области, определяя размер ставок вознаграждения, отмечает их рекомендательный характер, отмечая, что Федеральный Закон от 31.05.2002 г. №63-ФЗ «Об адвокатской деятельности и адвокатуре в РФ» не наделяет адвокатскую палату полномочиями установления каких-либо размеров или тарифов по оказанию адвокатами юридической помощи. </w:t>
      </w:r>
      <w:r w:rsidR="00EB5258" w:rsidRPr="004104D6">
        <w:rPr>
          <w:rFonts w:ascii="Times New Roman" w:hAnsi="Times New Roman" w:cs="Times New Roman"/>
          <w:sz w:val="26"/>
          <w:szCs w:val="26"/>
        </w:rPr>
        <w:t>Разделяет эту позицию и</w:t>
      </w:r>
      <w:r w:rsidRPr="004104D6">
        <w:rPr>
          <w:rFonts w:ascii="Times New Roman" w:hAnsi="Times New Roman" w:cs="Times New Roman"/>
          <w:sz w:val="26"/>
          <w:szCs w:val="26"/>
        </w:rPr>
        <w:t xml:space="preserve"> Совет АП Амурской области</w:t>
      </w:r>
      <w:r w:rsidR="00EB5258" w:rsidRPr="004104D6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4104D6">
        <w:rPr>
          <w:rFonts w:ascii="Times New Roman" w:hAnsi="Times New Roman" w:cs="Times New Roman"/>
          <w:sz w:val="26"/>
          <w:szCs w:val="26"/>
        </w:rPr>
        <w:t>в соответствующем решении специально указывает на то, что оно не является и не может являться единственным способом определения размера вознаграждения</w:t>
      </w:r>
      <w:r w:rsidR="00EB5258" w:rsidRPr="004104D6">
        <w:rPr>
          <w:rFonts w:ascii="Times New Roman" w:hAnsi="Times New Roman" w:cs="Times New Roman"/>
          <w:sz w:val="26"/>
          <w:szCs w:val="26"/>
        </w:rPr>
        <w:t>. Совет АП г. Севастополя указывает, что изменить размер вознаграждения в меньшую сторону можно не только соглашением между адвокатом и доверителем, но и решением руководителя адвокатского образования.</w:t>
      </w:r>
    </w:p>
    <w:p w14:paraId="4110A566" w14:textId="77777777" w:rsidR="001077F8" w:rsidRPr="004104D6" w:rsidRDefault="00EB5258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Вместе с тем, в иных палатах, если исходить из буквального смысла формулировок, содержащихся в их решениях об установлении минимальных расценок, принцип свободного определения размера вознаграждения адвоката </w:t>
      </w:r>
      <w:r w:rsidRPr="004104D6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соглашением с доверителем толкуется ограниченно. Так, Совет АП Республики Калмыкия позволяет членам палаты снижать размер вознаграждения ниже рекомендуемого, но не более, чем на 50%, </w:t>
      </w:r>
      <w:r w:rsidR="0064045F" w:rsidRPr="004104D6">
        <w:rPr>
          <w:rFonts w:ascii="Times New Roman" w:hAnsi="Times New Roman" w:cs="Times New Roman"/>
          <w:sz w:val="26"/>
          <w:szCs w:val="26"/>
        </w:rPr>
        <w:t xml:space="preserve">в </w:t>
      </w:r>
      <w:r w:rsidRPr="004104D6">
        <w:rPr>
          <w:rFonts w:ascii="Times New Roman" w:hAnsi="Times New Roman" w:cs="Times New Roman"/>
          <w:sz w:val="26"/>
          <w:szCs w:val="26"/>
        </w:rPr>
        <w:t>Костром</w:t>
      </w:r>
      <w:r w:rsidR="0064045F" w:rsidRPr="004104D6">
        <w:rPr>
          <w:rFonts w:ascii="Times New Roman" w:hAnsi="Times New Roman" w:cs="Times New Roman"/>
          <w:sz w:val="26"/>
          <w:szCs w:val="26"/>
        </w:rPr>
        <w:t>ской области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="0064045F" w:rsidRPr="004104D6">
        <w:rPr>
          <w:rFonts w:ascii="Times New Roman" w:hAnsi="Times New Roman" w:cs="Times New Roman"/>
          <w:sz w:val="26"/>
          <w:szCs w:val="26"/>
        </w:rPr>
        <w:t xml:space="preserve">такое решение может быть принято адвокатом </w:t>
      </w:r>
      <w:r w:rsidRPr="004104D6">
        <w:rPr>
          <w:rFonts w:ascii="Times New Roman" w:hAnsi="Times New Roman" w:cs="Times New Roman"/>
          <w:sz w:val="26"/>
          <w:szCs w:val="26"/>
        </w:rPr>
        <w:t xml:space="preserve">в исключительных случаях, </w:t>
      </w:r>
      <w:r w:rsidR="0064045F" w:rsidRPr="004104D6">
        <w:rPr>
          <w:rFonts w:ascii="Times New Roman" w:hAnsi="Times New Roman" w:cs="Times New Roman"/>
          <w:sz w:val="26"/>
          <w:szCs w:val="26"/>
        </w:rPr>
        <w:t>перечень которых является закрытым и приведен в положении о минимальных ставках</w:t>
      </w:r>
      <w:r w:rsidRPr="004104D6">
        <w:rPr>
          <w:rFonts w:ascii="Times New Roman" w:hAnsi="Times New Roman" w:cs="Times New Roman"/>
          <w:sz w:val="26"/>
          <w:szCs w:val="26"/>
        </w:rPr>
        <w:t>)</w:t>
      </w:r>
      <w:r w:rsidR="0064045F" w:rsidRPr="004104D6">
        <w:rPr>
          <w:rFonts w:ascii="Times New Roman" w:hAnsi="Times New Roman" w:cs="Times New Roman"/>
          <w:sz w:val="26"/>
          <w:szCs w:val="26"/>
        </w:rPr>
        <w:t>. В</w:t>
      </w:r>
      <w:r w:rsidRPr="004104D6">
        <w:rPr>
          <w:rFonts w:ascii="Times New Roman" w:hAnsi="Times New Roman" w:cs="Times New Roman"/>
          <w:sz w:val="26"/>
          <w:szCs w:val="26"/>
        </w:rPr>
        <w:t xml:space="preserve"> Сахалин</w:t>
      </w:r>
      <w:r w:rsidR="0064045F" w:rsidRPr="004104D6">
        <w:rPr>
          <w:rFonts w:ascii="Times New Roman" w:hAnsi="Times New Roman" w:cs="Times New Roman"/>
          <w:sz w:val="26"/>
          <w:szCs w:val="26"/>
        </w:rPr>
        <w:t xml:space="preserve">ской области и в Чувашии размер вознаграждения также может быть снижен самим адвокатом, однако в положении подчеркивается исключительность таких случаев. Кроме того, Совет АП Сахалинской области </w:t>
      </w:r>
      <w:r w:rsidR="0064045F" w:rsidRPr="004104D6">
        <w:rPr>
          <w:rFonts w:ascii="Times New Roman" w:hAnsi="Times New Roman" w:cs="Times New Roman"/>
          <w:color w:val="000000"/>
          <w:sz w:val="26"/>
          <w:szCs w:val="26"/>
        </w:rPr>
        <w:t>в своем решении указывает, что тарифы на оказание адвокатской помощи физическим и юридическим лицам могут быть уменьшены по просьбе адвоката председателем коллегии адвокатов, управляющим партнером адвокатского бюро либо адвокатом, осуществляющим деятельность в адвокатском кабинете</w:t>
      </w:r>
      <w:r w:rsidR="0064045F" w:rsidRPr="004104D6">
        <w:rPr>
          <w:rFonts w:ascii="Times New Roman" w:hAnsi="Times New Roman" w:cs="Times New Roman"/>
          <w:sz w:val="26"/>
          <w:szCs w:val="26"/>
        </w:rPr>
        <w:t xml:space="preserve">. При этом неясно, имеется ли в виду установление меньших тарифов при заключении конкретного соглашения, либо постоянной тарифной сетки, по которой минимальное вознаграждение адвоката, состоящего в адвокатском образовании, может быть установлено в размере меньшем, нежели это установлено Советом областной палаты. </w:t>
      </w:r>
      <w:r w:rsidR="001077F8" w:rsidRPr="004104D6">
        <w:rPr>
          <w:rFonts w:ascii="Times New Roman" w:hAnsi="Times New Roman" w:cs="Times New Roman"/>
          <w:sz w:val="26"/>
          <w:szCs w:val="26"/>
        </w:rPr>
        <w:t>В Воронежской области, в свою очередь, адвокат свободен устанавливать размер гонорара, однако контроль за исполнением соответствующих рекомендаций Совета АП возложен на руководителей адвокатских образований.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0628DF" w14:textId="2FD8D894" w:rsidR="00EB5258" w:rsidRPr="004104D6" w:rsidRDefault="0064045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Всего в стране </w:t>
      </w:r>
      <w:r w:rsidR="001077F8" w:rsidRPr="004104D6">
        <w:rPr>
          <w:rFonts w:ascii="Times New Roman" w:hAnsi="Times New Roman" w:cs="Times New Roman"/>
          <w:sz w:val="26"/>
          <w:szCs w:val="26"/>
        </w:rPr>
        <w:t>в двадцати пяти адвокатск</w:t>
      </w:r>
      <w:r w:rsidRPr="004104D6">
        <w:rPr>
          <w:rFonts w:ascii="Times New Roman" w:hAnsi="Times New Roman" w:cs="Times New Roman"/>
          <w:sz w:val="26"/>
          <w:szCs w:val="26"/>
        </w:rPr>
        <w:t>их палат</w:t>
      </w:r>
      <w:r w:rsidR="001077F8" w:rsidRPr="004104D6">
        <w:rPr>
          <w:rFonts w:ascii="Times New Roman" w:hAnsi="Times New Roman" w:cs="Times New Roman"/>
          <w:sz w:val="26"/>
          <w:szCs w:val="26"/>
        </w:rPr>
        <w:t xml:space="preserve">ах </w:t>
      </w:r>
      <w:r w:rsidRPr="004104D6">
        <w:rPr>
          <w:rFonts w:ascii="Times New Roman" w:hAnsi="Times New Roman" w:cs="Times New Roman"/>
          <w:sz w:val="26"/>
          <w:szCs w:val="26"/>
        </w:rPr>
        <w:t xml:space="preserve">имеются рекомендуемые минимальные ставки для оплаты услуг адвоката, однако сам адвокат может самостоятельно, </w:t>
      </w:r>
      <w:r w:rsidR="001077F8" w:rsidRPr="004104D6">
        <w:rPr>
          <w:rFonts w:ascii="Times New Roman" w:hAnsi="Times New Roman" w:cs="Times New Roman"/>
          <w:sz w:val="26"/>
          <w:szCs w:val="26"/>
        </w:rPr>
        <w:t xml:space="preserve">в той или иной мере, </w:t>
      </w:r>
      <w:r w:rsidRPr="004104D6">
        <w:rPr>
          <w:rFonts w:ascii="Times New Roman" w:hAnsi="Times New Roman" w:cs="Times New Roman"/>
          <w:sz w:val="26"/>
          <w:szCs w:val="26"/>
        </w:rPr>
        <w:t>с учетом тех или иных обстоятельств, изменить размер вознаграждения в меньшую сторону.</w:t>
      </w:r>
    </w:p>
    <w:p w14:paraId="3B77F642" w14:textId="035A0098" w:rsidR="00456888" w:rsidRPr="004104D6" w:rsidRDefault="0064045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В девяти региональных палатах размер вознаграждения может быть снижен лишь по согласованию с руководителем адвокатской палаты и с учетом конкретных </w:t>
      </w:r>
      <w:r w:rsidR="00456888" w:rsidRPr="004104D6">
        <w:rPr>
          <w:rFonts w:ascii="Times New Roman" w:hAnsi="Times New Roman" w:cs="Times New Roman"/>
          <w:sz w:val="26"/>
          <w:szCs w:val="26"/>
        </w:rPr>
        <w:t xml:space="preserve">исключительных обстоятельств, связанных с меньшей платежеспособностью доверителя. Так, руководитель адвокатского образования может снизить ставку вознаграждения в Смоленской области для жителей сельской местности, а в Ульяновской области такое решение принимается руководителем адвокатского образования совместно с адвокатом. Соответствующее положение, действующее в Тамбовской области, отличается от прочих аналогичных документов тем, что разрешает руководителю адвокатского образования с учетом конкретных обстоятельств не только снизить размер вознаграждения, но и установить его в большем размере  с учетом объема и сложности работы, продолжительности времени, необходимой для ее выполнения, опыта и квалификации адвоката, степени срочности выполнения работы и т.д. </w:t>
      </w:r>
    </w:p>
    <w:p w14:paraId="5C3496FA" w14:textId="107C8F7E" w:rsidR="008767A6" w:rsidRPr="004104D6" w:rsidRDefault="00456888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Есть </w:t>
      </w:r>
      <w:r w:rsidR="008767A6" w:rsidRPr="004104D6">
        <w:rPr>
          <w:rFonts w:ascii="Times New Roman" w:hAnsi="Times New Roman" w:cs="Times New Roman"/>
          <w:sz w:val="26"/>
          <w:szCs w:val="26"/>
        </w:rPr>
        <w:t>наряду с вышеперечисленными и восемь</w:t>
      </w:r>
      <w:r w:rsidRPr="004104D6">
        <w:rPr>
          <w:rFonts w:ascii="Times New Roman" w:hAnsi="Times New Roman" w:cs="Times New Roman"/>
          <w:sz w:val="26"/>
          <w:szCs w:val="26"/>
        </w:rPr>
        <w:t xml:space="preserve"> регионов, в которых минимальный размер вознаграждения адвоката не может быть снижен никем и ни при каких обстоятельствах. Так, в Республике</w:t>
      </w:r>
      <w:r w:rsidRPr="004104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4D6">
        <w:rPr>
          <w:rFonts w:ascii="Times New Roman" w:hAnsi="Times New Roman" w:cs="Times New Roman"/>
          <w:sz w:val="26"/>
          <w:szCs w:val="26"/>
        </w:rPr>
        <w:t>Коми и Калининградской области соответствующие положения предусматривают лишь возможность увеличения адвокатом ставки вознаграждения</w:t>
      </w:r>
      <w:r w:rsidR="008767A6" w:rsidRPr="004104D6">
        <w:rPr>
          <w:rFonts w:ascii="Times New Roman" w:hAnsi="Times New Roman" w:cs="Times New Roman"/>
          <w:sz w:val="26"/>
          <w:szCs w:val="26"/>
        </w:rPr>
        <w:t xml:space="preserve">: таким образом, </w:t>
      </w:r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xceptio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probat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regulam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casibus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non</w:t>
      </w:r>
      <w:proofErr w:type="spellEnd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67A6" w:rsidRPr="004104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exceptis</w:t>
      </w:r>
      <w:r w:rsidR="008767A6" w:rsidRPr="004104D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767A6" w:rsidRPr="004104D6">
        <w:rPr>
          <w:rFonts w:ascii="Times New Roman" w:hAnsi="Times New Roman" w:cs="Times New Roman"/>
          <w:sz w:val="26"/>
          <w:szCs w:val="26"/>
        </w:rPr>
        <w:t>, т.е. наличие исключения лишь подтверждает наличие правила о невозможности снижения указанной ставки. В свою очередь, Совет АП Пермского края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="008767A6" w:rsidRPr="004104D6">
        <w:rPr>
          <w:rFonts w:ascii="Times New Roman" w:hAnsi="Times New Roman" w:cs="Times New Roman"/>
          <w:sz w:val="26"/>
          <w:szCs w:val="26"/>
        </w:rPr>
        <w:t xml:space="preserve">обязывает адвокатов заключать соглашения лишь с вознаграждением выше установленных ставок, такого же подхода придерживается и Кабардино-Балкарская Республика. При этом, однако, в открытых источниках автором не было найдено ни одного сообщения о привлечении адвокатов любого из восьми «строгих» </w:t>
      </w:r>
      <w:r w:rsidR="008767A6" w:rsidRPr="004104D6">
        <w:rPr>
          <w:rFonts w:ascii="Times New Roman" w:hAnsi="Times New Roman" w:cs="Times New Roman"/>
          <w:sz w:val="26"/>
          <w:szCs w:val="26"/>
        </w:rPr>
        <w:lastRenderedPageBreak/>
        <w:t xml:space="preserve">регионов к дисциплинарной ответственности за снижение вознаграждения ниже установленного, то есть </w:t>
      </w:r>
      <w:r w:rsidR="00EF7FD4" w:rsidRPr="004104D6">
        <w:rPr>
          <w:rFonts w:ascii="Times New Roman" w:hAnsi="Times New Roman" w:cs="Times New Roman"/>
          <w:sz w:val="26"/>
          <w:szCs w:val="26"/>
        </w:rPr>
        <w:t>фактически за</w:t>
      </w:r>
      <w:r w:rsidR="008767A6"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="00EF7FD4" w:rsidRPr="004104D6">
        <w:rPr>
          <w:rFonts w:ascii="Times New Roman" w:hAnsi="Times New Roman" w:cs="Times New Roman"/>
          <w:sz w:val="26"/>
          <w:szCs w:val="26"/>
        </w:rPr>
        <w:t>установление демпинговых цен в сфере адвокатской деятельности.</w:t>
      </w:r>
      <w:r w:rsidR="008767A6" w:rsidRPr="004104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C3DA67" w14:textId="77777777" w:rsidR="00EF7FD4" w:rsidRPr="004104D6" w:rsidRDefault="008767A6" w:rsidP="008F2BF1">
      <w:pPr>
        <w:pStyle w:val="11"/>
        <w:rPr>
          <w:bCs/>
          <w:sz w:val="26"/>
          <w:szCs w:val="26"/>
        </w:rPr>
      </w:pPr>
      <w:r w:rsidRPr="004104D6">
        <w:rPr>
          <w:sz w:val="26"/>
          <w:szCs w:val="26"/>
        </w:rPr>
        <w:t xml:space="preserve">Кроме того, </w:t>
      </w:r>
      <w:r w:rsidR="00EF7FD4" w:rsidRPr="004104D6">
        <w:rPr>
          <w:sz w:val="26"/>
          <w:szCs w:val="26"/>
        </w:rPr>
        <w:t>в четырнадцати регионах</w:t>
      </w:r>
      <w:r w:rsidRPr="004104D6">
        <w:rPr>
          <w:sz w:val="26"/>
          <w:szCs w:val="26"/>
        </w:rPr>
        <w:t xml:space="preserve"> которых минимальные ставки хоть и установлены</w:t>
      </w:r>
      <w:r w:rsidR="00EF7FD4" w:rsidRPr="004104D6">
        <w:rPr>
          <w:sz w:val="26"/>
          <w:szCs w:val="26"/>
        </w:rPr>
        <w:t xml:space="preserve">, но без указания на обязательность или возможность снижения: к примеру, в </w:t>
      </w:r>
      <w:r w:rsidR="00EF7FD4" w:rsidRPr="00785A41">
        <w:rPr>
          <w:sz w:val="26"/>
          <w:szCs w:val="26"/>
        </w:rPr>
        <w:t>Алтайском крае и в Астраханской области тарифы устанавливаются, в Омской – рекомендуются, в Новгородской области же адвокатам вообще предлагаются «рекомендуемые усредненные минимальные ставки». В</w:t>
      </w:r>
      <w:r w:rsidR="00EF7FD4" w:rsidRPr="00785A41">
        <w:rPr>
          <w:bCs/>
          <w:sz w:val="26"/>
          <w:szCs w:val="26"/>
        </w:rPr>
        <w:t xml:space="preserve"> Приморском крае руко</w:t>
      </w:r>
      <w:r w:rsidR="00EF7FD4" w:rsidRPr="004104D6">
        <w:rPr>
          <w:bCs/>
          <w:sz w:val="26"/>
          <w:szCs w:val="26"/>
        </w:rPr>
        <w:t>водителям адвокатских образований предлагается самостоятельно определить минимальные ставки в части, не урегулированной соответствующим положением.</w:t>
      </w:r>
    </w:p>
    <w:p w14:paraId="5DFA54B6" w14:textId="673B3C17" w:rsidR="008767A6" w:rsidRPr="004104D6" w:rsidRDefault="00EF7FD4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Особняком</w:t>
      </w:r>
      <w:r w:rsidR="001077F8" w:rsidRPr="004104D6">
        <w:rPr>
          <w:rFonts w:ascii="Times New Roman" w:hAnsi="Times New Roman" w:cs="Times New Roman"/>
          <w:sz w:val="26"/>
          <w:szCs w:val="26"/>
        </w:rPr>
        <w:t xml:space="preserve"> в ряду аналогичных решений, положений и рекомендаций</w:t>
      </w:r>
      <w:r w:rsidRPr="004104D6">
        <w:rPr>
          <w:rFonts w:ascii="Times New Roman" w:hAnsi="Times New Roman" w:cs="Times New Roman"/>
          <w:sz w:val="26"/>
          <w:szCs w:val="26"/>
        </w:rPr>
        <w:t xml:space="preserve"> стоит прейскурант, утвержденный для адвокатов АП Орловской области. Исходя из его буквального смысла, он должен применяться только в том случае, если адвокат и его потенциальный доверитель не смогли договориться о сумме вознаграждения, причитающегося адвокату за оказание юридической помощи – «при отсутствии соглашения об оплате между адвокатом и лицом, обратившимся за юридической помощью, оплата устанавливается (…) по следующим ставкам в рублях». Вопрос о том, действительно ли</w:t>
      </w:r>
      <w:r w:rsidR="001077F8" w:rsidRPr="004104D6">
        <w:rPr>
          <w:rFonts w:ascii="Times New Roman" w:hAnsi="Times New Roman" w:cs="Times New Roman"/>
          <w:sz w:val="26"/>
          <w:szCs w:val="26"/>
        </w:rPr>
        <w:t xml:space="preserve"> прейскурант, утвержденный Советом областной палаты 19.12.2003 года, устанавливает размер вознаграждения адвоката при отсутствии в соглашении между адвокатом и доверителем одного из его существенных условий, остается, по-видимому, открытым.</w:t>
      </w:r>
    </w:p>
    <w:p w14:paraId="667D2468" w14:textId="205199D4" w:rsidR="001077F8" w:rsidRPr="004104D6" w:rsidRDefault="001077F8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Таким образом, примерно в половине адвокатских палат размер минимального рекомендуемого вознаграждения не имеет ограничительного характера, а в </w:t>
      </w:r>
      <w:r w:rsidR="00E47150" w:rsidRPr="004104D6">
        <w:rPr>
          <w:rFonts w:ascii="Times New Roman" w:hAnsi="Times New Roman" w:cs="Times New Roman"/>
          <w:sz w:val="26"/>
          <w:szCs w:val="26"/>
        </w:rPr>
        <w:t xml:space="preserve">тех </w:t>
      </w:r>
      <w:r w:rsidRPr="004104D6">
        <w:rPr>
          <w:rFonts w:ascii="Times New Roman" w:hAnsi="Times New Roman" w:cs="Times New Roman"/>
          <w:sz w:val="26"/>
          <w:szCs w:val="26"/>
        </w:rPr>
        <w:t xml:space="preserve">регионах, где невозможно или существенно усложнено (в том числе необходимостью согласования снижения гонорара с руководителем адвокатской палаты) снижение размера вознаграждения ниже низшего предела, не имелось, очевидно, случаев привлечения адвокатов к дисциплинарной ответственности </w:t>
      </w:r>
      <w:r w:rsidR="00E47150" w:rsidRPr="004104D6">
        <w:rPr>
          <w:rFonts w:ascii="Times New Roman" w:hAnsi="Times New Roman" w:cs="Times New Roman"/>
          <w:sz w:val="26"/>
          <w:szCs w:val="26"/>
        </w:rPr>
        <w:t>за нарушение таких положений.</w:t>
      </w:r>
    </w:p>
    <w:p w14:paraId="2D8C3AA9" w14:textId="21258C05" w:rsidR="00F16060" w:rsidRDefault="00E47150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Лишь две адвокатские палаты явно и намеренно поставили во главу угла только одну из всех задач, перечисленных во введении к настоящему обзору – определение критериев разумности при решении судами вопроса об определении размера расходов на представителя, подлежащих возмещению. Адвокатские палаты Краснодарского края и Ростовской области </w:t>
      </w:r>
      <w:r w:rsidR="00785A41">
        <w:rPr>
          <w:rFonts w:ascii="Times New Roman" w:hAnsi="Times New Roman" w:cs="Times New Roman"/>
          <w:sz w:val="26"/>
          <w:szCs w:val="26"/>
        </w:rPr>
        <w:t xml:space="preserve">в этой связи </w:t>
      </w:r>
      <w:r w:rsidRPr="004104D6">
        <w:rPr>
          <w:rFonts w:ascii="Times New Roman" w:hAnsi="Times New Roman" w:cs="Times New Roman"/>
          <w:sz w:val="26"/>
          <w:szCs w:val="26"/>
        </w:rPr>
        <w:t>не пошли по пути установления минимальных размеров вознаграждения. Они, напротив, сформировали своеобразные обзоры, содержащие результаты мониторинга гонорарной практики в регионе за прошлый календарный год. Таким образом, в документах такого рода нет и не может быть правил, рекомендаций, установления процедур и какого-либо ограничения свободы соглашения – данные акты адресованы в первую очередь судам для целей ст. 110 АПК РФ, 100 ГК РФ.</w:t>
      </w:r>
    </w:p>
    <w:p w14:paraId="3879586F" w14:textId="2E24598D" w:rsidR="00785A41" w:rsidRPr="007D2D6A" w:rsidRDefault="00785A41" w:rsidP="00785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6A">
        <w:rPr>
          <w:rFonts w:ascii="Times New Roman" w:hAnsi="Times New Roman" w:cs="Times New Roman"/>
          <w:b/>
          <w:sz w:val="28"/>
          <w:szCs w:val="28"/>
        </w:rPr>
        <w:t>Своевременность обновления минимальных ставок вознаграждения</w:t>
      </w:r>
    </w:p>
    <w:p w14:paraId="5B1475D0" w14:textId="27DF2988" w:rsidR="00E47150" w:rsidRPr="004104D6" w:rsidRDefault="00E47150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Другим важным вопросом, если исходить из необходимости реализации заданных целей, является своевременное обновление </w:t>
      </w:r>
      <w:r w:rsidR="001E3B62" w:rsidRPr="004104D6">
        <w:rPr>
          <w:rFonts w:ascii="Times New Roman" w:hAnsi="Times New Roman" w:cs="Times New Roman"/>
          <w:sz w:val="26"/>
          <w:szCs w:val="26"/>
        </w:rPr>
        <w:t xml:space="preserve">рекомендованных (установленных) </w:t>
      </w:r>
      <w:r w:rsidR="001E3B62" w:rsidRPr="004104D6">
        <w:rPr>
          <w:rFonts w:ascii="Times New Roman" w:hAnsi="Times New Roman" w:cs="Times New Roman"/>
          <w:sz w:val="26"/>
          <w:szCs w:val="26"/>
        </w:rPr>
        <w:lastRenderedPageBreak/>
        <w:t>минимальных ставок вознаграждения и возможность свободного доступа к актуальным версиям этих документов.</w:t>
      </w:r>
    </w:p>
    <w:p w14:paraId="374914B5" w14:textId="140C99EC" w:rsidR="001E3B62" w:rsidRPr="004104D6" w:rsidRDefault="001E3B62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Так, соответствующие положения и рекомендации не опубликованы на сайтах адвокатских палат Орловской области, Республики Дагестан, Республики Кабардино-Балкария. Эти документы можно найти лишь в «Вестниках» указанных палат, не всегда доступных в отсканированном виде. Что касается сайта АП Смоленской области, то он недоступен в течение длительного времени, поэтому не представляется возможным узнать из открытых источников, обновлялись ли рекомендации по оплате юридической помощи, утвержденные Советом</w:t>
      </w:r>
      <w:r w:rsidR="006D50E9" w:rsidRPr="004104D6">
        <w:rPr>
          <w:rFonts w:ascii="Times New Roman" w:hAnsi="Times New Roman" w:cs="Times New Roman"/>
          <w:sz w:val="26"/>
          <w:szCs w:val="26"/>
        </w:rPr>
        <w:t xml:space="preserve"> региональной палаты 31.03.2009 года, хотя бы раз за прошедшие девять лет.</w:t>
      </w:r>
    </w:p>
    <w:p w14:paraId="4279AB61" w14:textId="1A6E19F8" w:rsidR="006D50E9" w:rsidRPr="004104D6" w:rsidRDefault="006D50E9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Кроме того, очевидно, с 2010 года не обновлялись соответствующие положения и рекомендации в Ямало-Ненецком автономном округе, Рязанской и Орловской областях. Чуть менее устаревшими для целей ст. 110 АПК РФ, 100 ГПК РФ представляются положения, обновленные в последний раз в 2013-2014 годах в АП Курской, Ярославской, Астраханской, Брянской, Вологодской, Калужской и Московской областей.</w:t>
      </w:r>
    </w:p>
    <w:p w14:paraId="3C188049" w14:textId="05203BCF" w:rsidR="006D50E9" w:rsidRPr="004104D6" w:rsidRDefault="006D50E9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Еще в сорока восьми адвокатских палатах минимальные ставки обновлялись в 2015 году или позже, из них в двенадцати палатах – в текущем календарном году.</w:t>
      </w:r>
    </w:p>
    <w:p w14:paraId="6D4D3381" w14:textId="15E08D84" w:rsidR="00785A41" w:rsidRPr="007D2D6A" w:rsidRDefault="00785A41" w:rsidP="007D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6A">
        <w:rPr>
          <w:rFonts w:ascii="Times New Roman" w:hAnsi="Times New Roman" w:cs="Times New Roman"/>
          <w:b/>
          <w:sz w:val="28"/>
          <w:szCs w:val="28"/>
        </w:rPr>
        <w:t>Дифференциация минимальных размеров вознаграждения за выполнени</w:t>
      </w:r>
      <w:r w:rsidR="007D2D6A">
        <w:rPr>
          <w:rFonts w:ascii="Times New Roman" w:hAnsi="Times New Roman" w:cs="Times New Roman"/>
          <w:b/>
          <w:sz w:val="28"/>
          <w:szCs w:val="28"/>
        </w:rPr>
        <w:t>е</w:t>
      </w:r>
      <w:r w:rsidRPr="007D2D6A">
        <w:rPr>
          <w:rFonts w:ascii="Times New Roman" w:hAnsi="Times New Roman" w:cs="Times New Roman"/>
          <w:b/>
          <w:sz w:val="28"/>
          <w:szCs w:val="28"/>
        </w:rPr>
        <w:t xml:space="preserve"> конкретных поручений</w:t>
      </w:r>
    </w:p>
    <w:p w14:paraId="38B28CF9" w14:textId="02AACB7D" w:rsidR="006D50E9" w:rsidRPr="004104D6" w:rsidRDefault="006D50E9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Что касается непосредственно минимальных размеров вознаграждения за выполнение конкретных поручений, необходимо отметить следующее.</w:t>
      </w:r>
    </w:p>
    <w:p w14:paraId="1C4C47E9" w14:textId="77777777" w:rsidR="00785A41" w:rsidRDefault="006D50E9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Во-первых, положения, прейскуранты и рекомендации в разных адвокатских палатах существенно отличаются друг от друга в части конкретизации поручений и факторов, влияющих на </w:t>
      </w:r>
      <w:r w:rsidR="004A1383" w:rsidRPr="004104D6">
        <w:rPr>
          <w:rFonts w:ascii="Times New Roman" w:hAnsi="Times New Roman" w:cs="Times New Roman"/>
          <w:sz w:val="26"/>
          <w:szCs w:val="26"/>
        </w:rPr>
        <w:t>его исполнение (</w:t>
      </w:r>
      <w:proofErr w:type="spellStart"/>
      <w:r w:rsidR="004A1383" w:rsidRPr="004104D6">
        <w:rPr>
          <w:rFonts w:ascii="Times New Roman" w:hAnsi="Times New Roman" w:cs="Times New Roman"/>
          <w:sz w:val="26"/>
          <w:szCs w:val="26"/>
        </w:rPr>
        <w:t>многотомность</w:t>
      </w:r>
      <w:proofErr w:type="spellEnd"/>
      <w:r w:rsidR="004A1383" w:rsidRPr="004104D6">
        <w:rPr>
          <w:rFonts w:ascii="Times New Roman" w:hAnsi="Times New Roman" w:cs="Times New Roman"/>
          <w:sz w:val="26"/>
          <w:szCs w:val="26"/>
        </w:rPr>
        <w:t xml:space="preserve"> дела, наличие в деле соистцов и/или соответчиков, несовершеннолетний возраст обвиняемого или потерпевшего, удаленность места исполнения поручения от места жительства и работы адвоката с одной стороны, и упрощенные порядки судебного производства, сокращенная форма дознания, иные факторы, упрощающие участие в деле – с другой). </w:t>
      </w:r>
    </w:p>
    <w:p w14:paraId="464AC5C0" w14:textId="45BDC571" w:rsidR="004A1383" w:rsidRPr="004104D6" w:rsidRDefault="004A1383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 некоторых платах минимальное вознаграждение ставится даже в зависимость от стажа адвокатской деятельности – так, в Приморском крае в зависимости от стажа адвоката предлагается считать допустимым применение почасовой ставки оплаты работы в следующих пределах: от 1 до 3 лет – до 1500 рублей в час; от 3 до 5 лет – до 2500 рублей в час; от 5 до 10 лет – до 3000 рублей в час; от 10 до 20 лет – от 5000 рублей в час; от 20 лет и более – от 6000 рублей в час.</w:t>
      </w:r>
      <w:r w:rsidR="006D50E9"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Pr="004104D6">
        <w:rPr>
          <w:rFonts w:ascii="Times New Roman" w:hAnsi="Times New Roman" w:cs="Times New Roman"/>
          <w:sz w:val="26"/>
          <w:szCs w:val="26"/>
        </w:rPr>
        <w:t>Указанные различия в регулировании затрудняют получение значимого результата при сравнении конкретных минимальных ставок в разных регионах.</w:t>
      </w:r>
    </w:p>
    <w:p w14:paraId="40A329B3" w14:textId="4A8A8547" w:rsidR="006D50E9" w:rsidRPr="004104D6" w:rsidRDefault="004A1383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Во-вторых, сравнивать между собой размер минимального вознаграждения в регионе, </w:t>
      </w:r>
      <w:r w:rsidR="00785A41">
        <w:rPr>
          <w:rFonts w:ascii="Times New Roman" w:hAnsi="Times New Roman" w:cs="Times New Roman"/>
          <w:sz w:val="26"/>
          <w:szCs w:val="26"/>
        </w:rPr>
        <w:t xml:space="preserve">где </w:t>
      </w:r>
      <w:r w:rsidRPr="004104D6">
        <w:rPr>
          <w:rFonts w:ascii="Times New Roman" w:hAnsi="Times New Roman" w:cs="Times New Roman"/>
          <w:sz w:val="26"/>
          <w:szCs w:val="26"/>
        </w:rPr>
        <w:t xml:space="preserve">установлены отдельные тарифы на выполнение восемнадцати различных поручений, связанных с производством </w:t>
      </w:r>
      <w:r w:rsidR="00A72C5C" w:rsidRPr="004104D6">
        <w:rPr>
          <w:rFonts w:ascii="Times New Roman" w:hAnsi="Times New Roman" w:cs="Times New Roman"/>
          <w:sz w:val="26"/>
          <w:szCs w:val="26"/>
        </w:rPr>
        <w:t>по гражданскому делу (как это установлено, например, в Амурской области), и в регионе, где минимальные ставки определены всего для четырех вариантов поручения по гражданскому делу (например, в АП Республики Коми), не представляется целесообразным.</w:t>
      </w:r>
    </w:p>
    <w:p w14:paraId="21C7AA3F" w14:textId="005F17D0" w:rsidR="004A1383" w:rsidRPr="004104D6" w:rsidRDefault="004A1383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lastRenderedPageBreak/>
        <w:t>Во-</w:t>
      </w:r>
      <w:r w:rsidR="00A72C5C" w:rsidRPr="004104D6">
        <w:rPr>
          <w:rFonts w:ascii="Times New Roman" w:hAnsi="Times New Roman" w:cs="Times New Roman"/>
          <w:sz w:val="26"/>
          <w:szCs w:val="26"/>
        </w:rPr>
        <w:t>третьих</w:t>
      </w:r>
      <w:r w:rsidRPr="004104D6">
        <w:rPr>
          <w:rFonts w:ascii="Times New Roman" w:hAnsi="Times New Roman" w:cs="Times New Roman"/>
          <w:sz w:val="26"/>
          <w:szCs w:val="26"/>
        </w:rPr>
        <w:t>, стоимость услуг определяется в соответствующих документах в разных регионах также неодинаково – в частности, минимальная стоимость устной консультации колеблется от</w:t>
      </w:r>
      <w:r w:rsidR="00A72C5C" w:rsidRPr="004104D6">
        <w:rPr>
          <w:rFonts w:ascii="Times New Roman" w:hAnsi="Times New Roman" w:cs="Times New Roman"/>
          <w:sz w:val="26"/>
          <w:szCs w:val="26"/>
        </w:rPr>
        <w:t xml:space="preserve"> 150 рублей в Смоленской области до 2500 рублей в Ростовской области.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="00A72C5C" w:rsidRPr="004104D6">
        <w:rPr>
          <w:rFonts w:ascii="Times New Roman" w:hAnsi="Times New Roman" w:cs="Times New Roman"/>
          <w:sz w:val="26"/>
          <w:szCs w:val="26"/>
        </w:rPr>
        <w:t xml:space="preserve">С учетом всего сказанного выше пример этих двух регионов очень показателен – в Смоленской области минимальные ставки установлены Советом областной палаты почти десять лет назад, а в Ростовской области определены по результатам прошлогоднего мониторинга «живой» гонорарной практики. Сравнивать между собой данные ставки сложно даже без учета того, что от региона к региону </w:t>
      </w:r>
      <w:r w:rsidR="001D6411" w:rsidRPr="004104D6">
        <w:rPr>
          <w:rFonts w:ascii="Times New Roman" w:hAnsi="Times New Roman" w:cs="Times New Roman"/>
          <w:sz w:val="26"/>
          <w:szCs w:val="26"/>
        </w:rPr>
        <w:t xml:space="preserve">в России существенно </w:t>
      </w:r>
      <w:r w:rsidR="00A72C5C" w:rsidRPr="004104D6">
        <w:rPr>
          <w:rFonts w:ascii="Times New Roman" w:hAnsi="Times New Roman" w:cs="Times New Roman"/>
          <w:sz w:val="26"/>
          <w:szCs w:val="26"/>
        </w:rPr>
        <w:t>изменяется уровень цен, заработной платы, платежеспособности потенциальных доверителей</w:t>
      </w:r>
      <w:r w:rsidR="001D6411" w:rsidRPr="004104D6">
        <w:rPr>
          <w:rFonts w:ascii="Times New Roman" w:hAnsi="Times New Roman" w:cs="Times New Roman"/>
          <w:sz w:val="26"/>
          <w:szCs w:val="26"/>
        </w:rPr>
        <w:t>, что влияет и на определение минимальных ставок оплаты услуг адвоката.</w:t>
      </w:r>
    </w:p>
    <w:p w14:paraId="5B2127E7" w14:textId="42059E0D" w:rsidR="001D6411" w:rsidRPr="004104D6" w:rsidRDefault="001D6411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В-четвертых, налицо существенная разница в подходах к оценке в материальном выражении выполнения адвокатом одних поручений в сравнении с другими. Так, в некоторых регионах установлена одинаковая стоимость участия в судебном заседании по гражданскому и уголовному делу, если оба рассматриваются судом районного звена (как, например, в АП Красноярского края), в других участие в производстве по гражданскому делу предлагается оплачивать в большем размере (</w:t>
      </w:r>
      <w:r w:rsidR="00B03B1F" w:rsidRPr="004104D6">
        <w:rPr>
          <w:rFonts w:ascii="Times New Roman" w:hAnsi="Times New Roman" w:cs="Times New Roman"/>
          <w:sz w:val="26"/>
          <w:szCs w:val="26"/>
        </w:rPr>
        <w:t>АП Калужской области) или, напротив, в меньшем (АП Республики Тыва).</w:t>
      </w:r>
      <w:r w:rsidR="00E6413F" w:rsidRPr="004104D6">
        <w:rPr>
          <w:rFonts w:ascii="Times New Roman" w:hAnsi="Times New Roman" w:cs="Times New Roman"/>
          <w:sz w:val="26"/>
          <w:szCs w:val="26"/>
        </w:rPr>
        <w:t xml:space="preserve"> Таким же образом складывается ситуация со стоимостью участия адвоката в суде первой, апелляционной, кассационной инстанций – в одних регионах участие в каждой последующей инстанции предлагается оплачивать в большем размере, в других – в меньшем.</w:t>
      </w:r>
    </w:p>
    <w:p w14:paraId="79A480D8" w14:textId="77777777" w:rsidR="00E6413F" w:rsidRPr="004104D6" w:rsidRDefault="00B03B1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Таким образом, вычисление среднего по РФ минимального вознаграждения будет показательно даже меньше, чем средняя температура по больнице. </w:t>
      </w:r>
    </w:p>
    <w:p w14:paraId="6DD1D74C" w14:textId="77777777" w:rsidR="00E6413F" w:rsidRPr="004104D6" w:rsidRDefault="00E6413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В частности</w:t>
      </w:r>
      <w:r w:rsidR="00B03B1F" w:rsidRPr="004104D6">
        <w:rPr>
          <w:rFonts w:ascii="Times New Roman" w:hAnsi="Times New Roman" w:cs="Times New Roman"/>
          <w:sz w:val="26"/>
          <w:szCs w:val="26"/>
        </w:rPr>
        <w:t>, средняя минимальная стоимость устной консультации в России составит 956 рублей 40 копеек, однако при этом в тридцати двух регионах минимальная стоимость устной консультации выше.</w:t>
      </w:r>
      <w:r w:rsidRPr="004104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D943D" w14:textId="77777777" w:rsidR="003E2B13" w:rsidRDefault="00B03B1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Кроме того, к примеру, среднее минимальное вознаграждение за участие в гражданском деле в суде первой инстанции составит 36 238 рублей, а в уголовном при равных условиях (без выезда в другую местность, в суде районного звена) – 45 076 рублей. Вместе с тем средняя цена одного </w:t>
      </w:r>
      <w:proofErr w:type="spellStart"/>
      <w:r w:rsidRPr="004104D6">
        <w:rPr>
          <w:rFonts w:ascii="Times New Roman" w:hAnsi="Times New Roman" w:cs="Times New Roman"/>
          <w:sz w:val="26"/>
          <w:szCs w:val="26"/>
        </w:rPr>
        <w:t>судодня</w:t>
      </w:r>
      <w:proofErr w:type="spellEnd"/>
      <w:r w:rsidRPr="004104D6">
        <w:rPr>
          <w:rFonts w:ascii="Times New Roman" w:hAnsi="Times New Roman" w:cs="Times New Roman"/>
          <w:sz w:val="26"/>
          <w:szCs w:val="26"/>
        </w:rPr>
        <w:t xml:space="preserve"> в первой инстанции по гражданскому делу – 7 882 рубля, а по уголовному чуть ниже – </w:t>
      </w:r>
      <w:r w:rsidR="00E6413F" w:rsidRPr="004104D6">
        <w:rPr>
          <w:rFonts w:ascii="Times New Roman" w:hAnsi="Times New Roman" w:cs="Times New Roman"/>
          <w:sz w:val="26"/>
          <w:szCs w:val="26"/>
        </w:rPr>
        <w:t xml:space="preserve">7 718 рублей. </w:t>
      </w:r>
    </w:p>
    <w:p w14:paraId="20E8FAC0" w14:textId="77777777" w:rsidR="003E2B13" w:rsidRDefault="003E2B13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минимальная стоимость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судодня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регионах варьируется от 4 000 до 20 000 рублей по делам, рассматриваемым судами общей юрисдикции (указанные пределы касаются участия адвоката как в гражданских, так и в уголовных делах). Стоимость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судодня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рассмотрении дела в арбитражном суде составляет от 4 000 до 30 000 рублей.</w:t>
      </w:r>
    </w:p>
    <w:p w14:paraId="0930998A" w14:textId="243DF20E" w:rsidR="00B03B1F" w:rsidRDefault="00E6413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Это, по всей видимости, демонстрирует не только существенный разброс в подходах к определению минимальных ставок вознаграждения, но и отсутствие во многих регионах системного подхода к их определению.</w:t>
      </w:r>
    </w:p>
    <w:p w14:paraId="777BC82B" w14:textId="258A60FA" w:rsidR="003E2B13" w:rsidRPr="007D2D6A" w:rsidRDefault="003E2B13" w:rsidP="003E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6A">
        <w:rPr>
          <w:rFonts w:ascii="Times New Roman" w:hAnsi="Times New Roman" w:cs="Times New Roman"/>
          <w:b/>
          <w:sz w:val="28"/>
          <w:szCs w:val="28"/>
        </w:rPr>
        <w:t>Адекватность минимальных ставок вознаграждения целям их установления</w:t>
      </w:r>
    </w:p>
    <w:p w14:paraId="33ADB947" w14:textId="77777777" w:rsidR="003E2B13" w:rsidRDefault="00E6413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При таких обстоятельствах не</w:t>
      </w:r>
      <w:r w:rsidR="003E2B13">
        <w:rPr>
          <w:rFonts w:ascii="Times New Roman" w:hAnsi="Times New Roman" w:cs="Times New Roman"/>
          <w:sz w:val="26"/>
          <w:szCs w:val="26"/>
        </w:rPr>
        <w:t>избежно</w:t>
      </w:r>
      <w:r w:rsidRPr="004104D6">
        <w:rPr>
          <w:rFonts w:ascii="Times New Roman" w:hAnsi="Times New Roman" w:cs="Times New Roman"/>
          <w:sz w:val="26"/>
          <w:szCs w:val="26"/>
        </w:rPr>
        <w:t xml:space="preserve"> встает вопрос, насколько наличие минимальных ставок вознаграждения в их нынешнем виде служит целям, </w:t>
      </w:r>
      <w:r w:rsidRPr="004104D6">
        <w:rPr>
          <w:rFonts w:ascii="Times New Roman" w:hAnsi="Times New Roman" w:cs="Times New Roman"/>
          <w:sz w:val="26"/>
          <w:szCs w:val="26"/>
        </w:rPr>
        <w:lastRenderedPageBreak/>
        <w:t>поставленным перед собой большинством региональных адвокатских палат</w:t>
      </w:r>
      <w:r w:rsidR="003E2B13">
        <w:rPr>
          <w:rFonts w:ascii="Times New Roman" w:hAnsi="Times New Roman" w:cs="Times New Roman"/>
          <w:sz w:val="26"/>
          <w:szCs w:val="26"/>
        </w:rPr>
        <w:t xml:space="preserve"> при установлении таких ставок</w:t>
      </w:r>
      <w:r w:rsidRPr="004104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9E3341" w14:textId="4D126108" w:rsidR="00E6413F" w:rsidRPr="004104D6" w:rsidRDefault="00E6413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Так, например, борьба с демпингом на рынке адвокатских услуг невозможна без привлечения к дисциплинарной ответственности адвокатов, нарушивших предписанные минимально рекомендованные расценки и установившим гонорар в меньшем размере. Вместе с тем, ФЗ «Об адвокатской деятельности и адвокатуре в Российской Федерации» не предусматривает участия в механизме ценообразования кого-либо, кроме адвоката и его доверителя, если речь идет не о бесплатной юридической помощи и не о защите по назначению в уголовном деле. Ни Совет адвокатской палаты, ни Конференция адвокатов не имеют законного права </w:t>
      </w:r>
      <w:r w:rsidR="003E2B13">
        <w:rPr>
          <w:rFonts w:ascii="Times New Roman" w:hAnsi="Times New Roman" w:cs="Times New Roman"/>
          <w:sz w:val="26"/>
          <w:szCs w:val="26"/>
        </w:rPr>
        <w:t xml:space="preserve">императивно </w:t>
      </w:r>
      <w:r w:rsidRPr="004104D6">
        <w:rPr>
          <w:rFonts w:ascii="Times New Roman" w:hAnsi="Times New Roman" w:cs="Times New Roman"/>
          <w:sz w:val="26"/>
          <w:szCs w:val="26"/>
        </w:rPr>
        <w:t>устанавливать какие-либо минимальные расценки, обязательные к соблюдению.</w:t>
      </w:r>
    </w:p>
    <w:p w14:paraId="7E872EE6" w14:textId="6981AD20" w:rsidR="00E6413F" w:rsidRPr="004104D6" w:rsidRDefault="00E6413F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 xml:space="preserve">Что касается возможности </w:t>
      </w:r>
      <w:r w:rsidR="00613D2C" w:rsidRPr="004104D6">
        <w:rPr>
          <w:rFonts w:ascii="Times New Roman" w:hAnsi="Times New Roman" w:cs="Times New Roman"/>
          <w:sz w:val="26"/>
          <w:szCs w:val="26"/>
        </w:rPr>
        <w:t xml:space="preserve">с помощью тех или иных существующих рекомендаций </w:t>
      </w:r>
      <w:r w:rsidRPr="004104D6">
        <w:rPr>
          <w:rFonts w:ascii="Times New Roman" w:hAnsi="Times New Roman" w:cs="Times New Roman"/>
          <w:sz w:val="26"/>
          <w:szCs w:val="26"/>
        </w:rPr>
        <w:t xml:space="preserve">помочь адвокату, затрудняющемуся с </w:t>
      </w:r>
      <w:r w:rsidR="00613D2C" w:rsidRPr="004104D6">
        <w:rPr>
          <w:rFonts w:ascii="Times New Roman" w:hAnsi="Times New Roman" w:cs="Times New Roman"/>
          <w:sz w:val="26"/>
          <w:szCs w:val="26"/>
        </w:rPr>
        <w:t>определением размера вознаграждения, или потенциальному доверителю, не могущего сориентироваться на рынке адвокатских услуг, то в нынешнем виде рекомендованные ставки не отражают реальных расценок и лишь вводят в заблуждение. В частности, установленный во многих регионах минимальный размер вознаграждения за день работы адвоката примерно соответствует средней цене на услуги адвоката в Москве и Московской области за час работы (по данным портала «</w:t>
      </w:r>
      <w:proofErr w:type="spellStart"/>
      <w:r w:rsidR="00613D2C" w:rsidRPr="004104D6">
        <w:rPr>
          <w:rFonts w:ascii="Times New Roman" w:hAnsi="Times New Roman" w:cs="Times New Roman"/>
          <w:sz w:val="26"/>
          <w:szCs w:val="26"/>
        </w:rPr>
        <w:t>Праворуб</w:t>
      </w:r>
      <w:proofErr w:type="spellEnd"/>
      <w:r w:rsidR="00613D2C" w:rsidRPr="004104D6">
        <w:rPr>
          <w:rFonts w:ascii="Times New Roman" w:hAnsi="Times New Roman" w:cs="Times New Roman"/>
          <w:sz w:val="26"/>
          <w:szCs w:val="26"/>
        </w:rPr>
        <w:t xml:space="preserve">»: </w:t>
      </w:r>
      <w:hyperlink r:id="rId7" w:history="1">
        <w:r w:rsidR="00613D2C" w:rsidRPr="004104D6">
          <w:rPr>
            <w:rStyle w:val="a3"/>
            <w:rFonts w:ascii="Times New Roman" w:hAnsi="Times New Roman" w:cs="Times New Roman"/>
            <w:sz w:val="26"/>
            <w:szCs w:val="26"/>
          </w:rPr>
          <w:t>https://pravorub.ru/users/stat/prices/4312/</w:t>
        </w:r>
      </w:hyperlink>
      <w:r w:rsidR="00613D2C" w:rsidRPr="004104D6">
        <w:rPr>
          <w:rFonts w:ascii="Times New Roman" w:hAnsi="Times New Roman" w:cs="Times New Roman"/>
          <w:sz w:val="26"/>
          <w:szCs w:val="26"/>
        </w:rPr>
        <w:t>)</w:t>
      </w:r>
    </w:p>
    <w:p w14:paraId="2EDB9611" w14:textId="06643BBF" w:rsidR="004104D6" w:rsidRPr="004104D6" w:rsidRDefault="004104D6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При таких обстоятельствах представляется, что цель унификации гонорарной практики с помощью таких мер также не достигается – для этого свои подходы к данной практике должны четко определить и упорядочить в первую очередь адвокатские палаты с учетом специфики региона. Кроме того, гонорарная практика, как и большинство рыночных практик, упорядочивает сама себя естественным путем – вероятно, не в последнюю очередь потому, что имеющиеся минимальные ставки редко применяются адвокатами при решении вопросов, связанных с размером вознаграждения.</w:t>
      </w:r>
    </w:p>
    <w:p w14:paraId="0A345CB1" w14:textId="48319DD4" w:rsidR="004104D6" w:rsidRPr="004104D6" w:rsidRDefault="00613D2C" w:rsidP="008F2B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4D6">
        <w:rPr>
          <w:rFonts w:ascii="Times New Roman" w:hAnsi="Times New Roman" w:cs="Times New Roman"/>
          <w:sz w:val="26"/>
          <w:szCs w:val="26"/>
        </w:rPr>
        <w:t>Кроме того,</w:t>
      </w:r>
      <w:r w:rsidR="004104D6" w:rsidRPr="004104D6">
        <w:rPr>
          <w:rFonts w:ascii="Times New Roman" w:hAnsi="Times New Roman" w:cs="Times New Roman"/>
          <w:sz w:val="26"/>
          <w:szCs w:val="26"/>
        </w:rPr>
        <w:t xml:space="preserve"> </w:t>
      </w:r>
      <w:r w:rsidRPr="004104D6">
        <w:rPr>
          <w:rFonts w:ascii="Times New Roman" w:hAnsi="Times New Roman" w:cs="Times New Roman"/>
          <w:sz w:val="26"/>
          <w:szCs w:val="26"/>
        </w:rPr>
        <w:t>ориентироваться на рынке адвокатских услуг</w:t>
      </w:r>
      <w:r w:rsidR="004104D6" w:rsidRPr="004104D6">
        <w:rPr>
          <w:rFonts w:ascii="Times New Roman" w:hAnsi="Times New Roman" w:cs="Times New Roman"/>
          <w:sz w:val="26"/>
          <w:szCs w:val="26"/>
        </w:rPr>
        <w:t xml:space="preserve"> доверителям</w:t>
      </w:r>
      <w:r w:rsidRPr="004104D6">
        <w:rPr>
          <w:rFonts w:ascii="Times New Roman" w:hAnsi="Times New Roman" w:cs="Times New Roman"/>
          <w:sz w:val="26"/>
          <w:szCs w:val="26"/>
        </w:rPr>
        <w:t xml:space="preserve"> скорее помогли бы средние, а не минимальные рекомендуемые ставки. Что же касается определения размера расходов на оплату услуг представителя, подлежащих возмещению, то во многом устаревшие и не отражающие реальных размеров вознаграждения минимальные ставки могут быть, возможно, более вредны, чем отсутствие каких-либо четко установленных ставок. </w:t>
      </w:r>
      <w:r w:rsidR="004104D6" w:rsidRPr="004104D6">
        <w:rPr>
          <w:rFonts w:ascii="Times New Roman" w:hAnsi="Times New Roman" w:cs="Times New Roman"/>
          <w:sz w:val="26"/>
          <w:szCs w:val="26"/>
        </w:rPr>
        <w:t>Для указанной цели было бы целесообразно использовать, по примеру Краснодарского края и Ростовской области, утвержденные Советом адвокатской палаты результаты мониторинга реальной гонорарной практики адвокатов региона</w:t>
      </w:r>
      <w:r w:rsidR="003E2B13">
        <w:rPr>
          <w:rFonts w:ascii="Times New Roman" w:hAnsi="Times New Roman" w:cs="Times New Roman"/>
          <w:sz w:val="26"/>
          <w:szCs w:val="26"/>
        </w:rPr>
        <w:t xml:space="preserve"> за прошлый календарный год</w:t>
      </w:r>
      <w:r w:rsidR="004104D6" w:rsidRPr="004104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4B1668" w14:textId="0E0252EF" w:rsidR="00613D2C" w:rsidRDefault="004104D6" w:rsidP="006D50E9">
      <w:r>
        <w:t xml:space="preserve"> </w:t>
      </w:r>
    </w:p>
    <w:p w14:paraId="5ABEE4DF" w14:textId="13BBC2B1" w:rsidR="00252BBE" w:rsidRDefault="00F16060">
      <w:r>
        <w:t xml:space="preserve"> </w:t>
      </w:r>
    </w:p>
    <w:sectPr w:rsidR="0025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7F7"/>
    <w:multiLevelType w:val="hybridMultilevel"/>
    <w:tmpl w:val="7602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01B38"/>
    <w:multiLevelType w:val="hybridMultilevel"/>
    <w:tmpl w:val="EF30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9"/>
    <w:rsid w:val="001077F8"/>
    <w:rsid w:val="001410F5"/>
    <w:rsid w:val="00194C71"/>
    <w:rsid w:val="001D6411"/>
    <w:rsid w:val="001E3B62"/>
    <w:rsid w:val="003D2BFE"/>
    <w:rsid w:val="003E2B13"/>
    <w:rsid w:val="004028D8"/>
    <w:rsid w:val="004104D6"/>
    <w:rsid w:val="004246C0"/>
    <w:rsid w:val="00456888"/>
    <w:rsid w:val="004A1383"/>
    <w:rsid w:val="005E2429"/>
    <w:rsid w:val="00603C6D"/>
    <w:rsid w:val="00613D2C"/>
    <w:rsid w:val="0064045F"/>
    <w:rsid w:val="006D50E9"/>
    <w:rsid w:val="00785A41"/>
    <w:rsid w:val="0079326B"/>
    <w:rsid w:val="007D2D6A"/>
    <w:rsid w:val="007F47FD"/>
    <w:rsid w:val="00861E7D"/>
    <w:rsid w:val="008767A6"/>
    <w:rsid w:val="008874A5"/>
    <w:rsid w:val="008F2BF1"/>
    <w:rsid w:val="009724D6"/>
    <w:rsid w:val="00A72C5C"/>
    <w:rsid w:val="00B03B1F"/>
    <w:rsid w:val="00B65E71"/>
    <w:rsid w:val="00BE44B9"/>
    <w:rsid w:val="00E47150"/>
    <w:rsid w:val="00E6413F"/>
    <w:rsid w:val="00EB5258"/>
    <w:rsid w:val="00EF7FD4"/>
    <w:rsid w:val="00F16060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F7FD4"/>
    <w:pPr>
      <w:suppressAutoHyphens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3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D2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104D6"/>
    <w:pPr>
      <w:ind w:left="720"/>
      <w:contextualSpacing/>
    </w:pPr>
  </w:style>
  <w:style w:type="paragraph" w:customStyle="1" w:styleId="standard">
    <w:name w:val="standard"/>
    <w:basedOn w:val="a"/>
    <w:rsid w:val="0019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3E2B1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F7FD4"/>
    <w:pPr>
      <w:suppressAutoHyphens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3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D2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104D6"/>
    <w:pPr>
      <w:ind w:left="720"/>
      <w:contextualSpacing/>
    </w:pPr>
  </w:style>
  <w:style w:type="paragraph" w:customStyle="1" w:styleId="standard">
    <w:name w:val="standard"/>
    <w:basedOn w:val="a"/>
    <w:rsid w:val="0019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3E2B1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rub.ru/users/stat/prices/4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0DD3-0972-4113-B7F1-9CCD2C9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7</cp:revision>
  <dcterms:created xsi:type="dcterms:W3CDTF">2018-10-05T07:23:00Z</dcterms:created>
  <dcterms:modified xsi:type="dcterms:W3CDTF">2018-11-07T21:33:00Z</dcterms:modified>
</cp:coreProperties>
</file>